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1B6A8E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1B6A8E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1B6A8E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1B6A8E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1B6A8E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1B6A8E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1B6A8E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1B6A8E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1B6A8E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1B6A8E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1B6A8E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1B6A8E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1B6A8E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1B6A8E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557092B2" w:rsidR="00F12A29" w:rsidRPr="001B6A8E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C759E7" w:rsidRPr="001B6A8E">
        <w:rPr>
          <w:rFonts w:ascii="Aptos Narrow" w:hAnsi="Aptos Narrow" w:cstheme="minorHAnsi"/>
          <w:sz w:val="22"/>
          <w:szCs w:val="22"/>
        </w:rPr>
        <w:t>„</w:t>
      </w:r>
      <w:r w:rsidR="00C759E7" w:rsidRPr="001B6A8E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na potrzeby </w:t>
      </w:r>
      <w:r w:rsidR="00AB7135" w:rsidRPr="001B6A8E">
        <w:rPr>
          <w:rFonts w:ascii="Aptos Narrow" w:hAnsi="Aptos Narrow" w:cs="Calibri (Tekst podstawowy)"/>
          <w:i/>
          <w:iCs/>
          <w:sz w:val="22"/>
          <w:szCs w:val="22"/>
        </w:rPr>
        <w:t>Szkoły Podstawowej nr 38 im. gen. Stanisława Maczka Gdańsku</w:t>
      </w:r>
      <w:r w:rsidR="00C759E7" w:rsidRPr="001B6A8E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1B6A8E">
        <w:rPr>
          <w:rFonts w:ascii="Aptos Narrow" w:hAnsi="Aptos Narrow" w:cs="Calibri (Tekst podstawowy)"/>
          <w:i/>
          <w:iCs/>
          <w:sz w:val="22"/>
          <w:szCs w:val="22"/>
        </w:rPr>
        <w:t>,</w:t>
      </w:r>
      <w:r w:rsidRPr="001B6A8E">
        <w:rPr>
          <w:rFonts w:ascii="Aptos Narrow" w:hAnsi="Aptos Narrow" w:cs="Calibri (Tekst podstawowy)"/>
          <w:sz w:val="22"/>
          <w:szCs w:val="22"/>
        </w:rPr>
        <w:t xml:space="preserve"> oświadczam, co następuje: </w:t>
      </w:r>
    </w:p>
    <w:p w14:paraId="515DA873" w14:textId="77777777" w:rsidR="009D120E" w:rsidRPr="001B6A8E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1B6A8E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1B6A8E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1B6A8E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1B6A8E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1B6A8E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1B6A8E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1B6A8E">
        <w:rPr>
          <w:rFonts w:ascii="Aptos Narrow" w:hAnsi="Aptos Narrow" w:cs="Calibri (Tekst podstawowy)"/>
          <w:sz w:val="22"/>
          <w:szCs w:val="22"/>
        </w:rPr>
        <w:t xml:space="preserve"> </w:t>
      </w:r>
      <w:r w:rsidRPr="001B6A8E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1B6A8E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1B6A8E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1B6A8E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1B6A8E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1B6A8E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1B6A8E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1B6A8E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1B6A8E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1B6A8E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1B6A8E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1B6A8E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1B6A8E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1B6A8E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1B6A8E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1B6A8E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1B6A8E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4E23AD19" w:rsidR="003D6D50" w:rsidRPr="001B6A8E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8A1484" w:rsidRPr="001B6A8E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1B6A8E">
        <w:rPr>
          <w:rFonts w:ascii="Aptos Narrow" w:hAnsi="Aptos Narrow" w:cs="Calibri (Tekst podstawowy)"/>
          <w:sz w:val="22"/>
          <w:szCs w:val="22"/>
        </w:rPr>
        <w:t>)</w:t>
      </w:r>
      <w:r w:rsidR="00B216E3" w:rsidRPr="001B6A8E">
        <w:rPr>
          <w:rFonts w:ascii="Aptos Narrow" w:hAnsi="Aptos Narrow" w:cs="Calibri (Tekst podstawowy)"/>
          <w:sz w:val="22"/>
          <w:szCs w:val="22"/>
        </w:rPr>
        <w:t>, o</w:t>
      </w:r>
      <w:r w:rsidR="000B574C" w:rsidRPr="001B6A8E">
        <w:rPr>
          <w:rFonts w:ascii="Aptos Narrow" w:hAnsi="Aptos Narrow" w:cs="Calibri (Tekst podstawowy)"/>
          <w:sz w:val="22"/>
          <w:szCs w:val="22"/>
        </w:rPr>
        <w:t> </w:t>
      </w:r>
      <w:r w:rsidR="00B216E3" w:rsidRPr="001B6A8E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1B6A8E">
        <w:rPr>
          <w:rFonts w:ascii="Aptos Narrow" w:hAnsi="Aptos Narrow" w:cs="Calibri (Tekst podstawowy)"/>
          <w:sz w:val="22"/>
          <w:szCs w:val="22"/>
        </w:rPr>
        <w:t> </w:t>
      </w:r>
      <w:r w:rsidR="00B216E3" w:rsidRPr="001B6A8E">
        <w:rPr>
          <w:rFonts w:ascii="Aptos Narrow" w:hAnsi="Aptos Narrow" w:cs="Calibri (Tekst podstawowy)"/>
          <w:sz w:val="22"/>
          <w:szCs w:val="22"/>
        </w:rPr>
        <w:t>1 pkt 3 SWZ</w:t>
      </w:r>
      <w:r w:rsidRPr="001B6A8E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1B6A8E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1B6A8E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1B6A8E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1B6A8E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1B6A8E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1B6A8E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1B6A8E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1B6A8E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1B6A8E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EA5EF" w14:textId="77777777" w:rsidR="008565FA" w:rsidRDefault="008565FA" w:rsidP="00F6031F">
      <w:r>
        <w:separator/>
      </w:r>
    </w:p>
  </w:endnote>
  <w:endnote w:type="continuationSeparator" w:id="0">
    <w:p w14:paraId="2D8430D8" w14:textId="77777777" w:rsidR="008565FA" w:rsidRDefault="008565FA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6910C" w14:textId="77777777" w:rsidR="008565FA" w:rsidRDefault="008565FA" w:rsidP="00F6031F">
      <w:r>
        <w:separator/>
      </w:r>
    </w:p>
  </w:footnote>
  <w:footnote w:type="continuationSeparator" w:id="0">
    <w:p w14:paraId="2261BE7A" w14:textId="77777777" w:rsidR="008565FA" w:rsidRDefault="008565FA" w:rsidP="00F6031F">
      <w:r>
        <w:continuationSeparator/>
      </w:r>
    </w:p>
  </w:footnote>
  <w:footnote w:id="1">
    <w:p w14:paraId="7C37C082" w14:textId="77777777" w:rsidR="003D6D50" w:rsidRPr="001B6A8E" w:rsidRDefault="003D6D50" w:rsidP="003D6D50">
      <w:pPr>
        <w:pStyle w:val="Tekstprzypisudolnego"/>
        <w:ind w:left="113" w:hanging="113"/>
        <w:rPr>
          <w:rFonts w:ascii="Aptos Narrow" w:eastAsiaTheme="minorEastAsia" w:hAnsi="Aptos Narrow" w:cstheme="minorHAnsi"/>
          <w:color w:val="FF0000"/>
          <w:spacing w:val="-10"/>
        </w:rPr>
      </w:pPr>
      <w:r w:rsidRPr="001B6A8E">
        <w:rPr>
          <w:rStyle w:val="Odwoanieprzypisudolnego"/>
          <w:rFonts w:ascii="Aptos Narrow" w:hAnsi="Aptos Narrow" w:cstheme="minorHAnsi"/>
          <w:color w:val="FF0000"/>
        </w:rPr>
        <w:footnoteRef/>
      </w:r>
      <w:r w:rsidRPr="001B6A8E">
        <w:rPr>
          <w:rFonts w:ascii="Aptos Narrow" w:hAnsi="Aptos Narrow" w:cstheme="minorHAnsi"/>
          <w:color w:val="FF0000"/>
        </w:rPr>
        <w:t xml:space="preserve"> </w:t>
      </w:r>
      <w:r w:rsidRPr="001B6A8E">
        <w:rPr>
          <w:rFonts w:ascii="Aptos Narrow" w:eastAsiaTheme="minorEastAsia" w:hAnsi="Aptos Narrow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Pr="001B6A8E" w:rsidRDefault="003D6D50" w:rsidP="00B216E3">
      <w:pPr>
        <w:pStyle w:val="Tekstprzypisudolnego"/>
        <w:ind w:left="113" w:hanging="113"/>
        <w:jc w:val="both"/>
        <w:rPr>
          <w:rFonts w:ascii="Aptos Narrow" w:eastAsiaTheme="minorEastAsia" w:hAnsi="Aptos Narrow" w:cstheme="minorHAnsi"/>
          <w:color w:val="000000"/>
          <w:spacing w:val="-10"/>
        </w:rPr>
      </w:pPr>
      <w:r w:rsidRPr="001B6A8E">
        <w:rPr>
          <w:rFonts w:ascii="Aptos Narrow" w:eastAsiaTheme="minorEastAsia" w:hAnsi="Aptos Narrow" w:cstheme="minorHAnsi"/>
          <w:color w:val="000000"/>
          <w:spacing w:val="-10"/>
          <w:vertAlign w:val="superscript"/>
        </w:rPr>
        <w:footnoteRef/>
      </w:r>
      <w:r w:rsidRPr="001B6A8E">
        <w:rPr>
          <w:rFonts w:ascii="Aptos Narrow" w:eastAsiaTheme="minorEastAsia" w:hAnsi="Aptos Narrow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1B6A8E">
        <w:rPr>
          <w:rFonts w:ascii="Aptos Narrow" w:eastAsiaTheme="minorEastAsia" w:hAnsi="Aptos Narrow" w:cstheme="minorHAnsi"/>
          <w:color w:val="000000"/>
          <w:spacing w:val="-10"/>
        </w:rPr>
        <w:t xml:space="preserve"> </w:t>
      </w:r>
      <w:r w:rsidRPr="001B6A8E">
        <w:rPr>
          <w:rFonts w:ascii="Aptos Narrow" w:eastAsiaTheme="minorEastAsia" w:hAnsi="Aptos Narrow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1B6A8E">
        <w:rPr>
          <w:rFonts w:ascii="Aptos Narrow" w:eastAsiaTheme="minorEastAsia" w:hAnsi="Aptos Narrow" w:cstheme="minorHAnsi"/>
          <w:color w:val="000000"/>
          <w:spacing w:val="-10"/>
        </w:rPr>
        <w:t xml:space="preserve">. </w:t>
      </w:r>
    </w:p>
    <w:p w14:paraId="01E146BF" w14:textId="7D003CB1" w:rsidR="003D6D50" w:rsidRPr="001B6A8E" w:rsidRDefault="00B216E3" w:rsidP="00B216E3">
      <w:pPr>
        <w:pStyle w:val="Tekstprzypisudolnego"/>
        <w:ind w:left="113"/>
        <w:jc w:val="both"/>
        <w:rPr>
          <w:rFonts w:ascii="Aptos Narrow" w:eastAsiaTheme="minorEastAsia" w:hAnsi="Aptos Narrow" w:cstheme="minorHAnsi"/>
          <w:color w:val="000000"/>
          <w:spacing w:val="-10"/>
        </w:rPr>
      </w:pPr>
      <w:r w:rsidRPr="001B6A8E">
        <w:rPr>
          <w:rFonts w:ascii="Aptos Narrow" w:eastAsiaTheme="minorEastAsia" w:hAnsi="Aptos Narrow" w:cstheme="minorHAnsi"/>
          <w:color w:val="000000"/>
          <w:spacing w:val="-10"/>
        </w:rPr>
        <w:t xml:space="preserve">W przypadku niewypełnienia oświadczenia z pkt 2 </w:t>
      </w:r>
      <w:r w:rsidR="006B0CDF" w:rsidRPr="001B6A8E">
        <w:rPr>
          <w:rFonts w:ascii="Aptos Narrow" w:eastAsiaTheme="minorEastAsia" w:hAnsi="Aptos Narrow" w:cstheme="minorHAnsi"/>
          <w:color w:val="000000"/>
          <w:spacing w:val="-10"/>
        </w:rPr>
        <w:t>lub</w:t>
      </w:r>
      <w:r w:rsidRPr="001B6A8E">
        <w:rPr>
          <w:rFonts w:ascii="Aptos Narrow" w:eastAsiaTheme="minorEastAsia" w:hAnsi="Aptos Narrow" w:cstheme="minorHAnsi"/>
          <w:color w:val="000000"/>
          <w:spacing w:val="-10"/>
        </w:rPr>
        <w:t xml:space="preserve"> </w:t>
      </w:r>
      <w:proofErr w:type="spellStart"/>
      <w:r w:rsidRPr="001B6A8E">
        <w:rPr>
          <w:rFonts w:ascii="Aptos Narrow" w:eastAsiaTheme="minorEastAsia" w:hAnsi="Aptos Narrow" w:cstheme="minorHAnsi"/>
          <w:color w:val="000000"/>
          <w:spacing w:val="-10"/>
        </w:rPr>
        <w:t>niewykreślenia</w:t>
      </w:r>
      <w:proofErr w:type="spellEnd"/>
      <w:r w:rsidRPr="001B6A8E">
        <w:rPr>
          <w:rFonts w:ascii="Aptos Narrow" w:eastAsiaTheme="minorEastAsia" w:hAnsi="Aptos Narrow" w:cstheme="minorHAnsi"/>
          <w:color w:val="000000"/>
          <w:spacing w:val="-10"/>
        </w:rPr>
        <w:t xml:space="preserve"> żadnego z oświadczeń w pkt 1 i 2, Zamawiający uzna, 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E9266" w14:textId="5923C310" w:rsidR="00AB7135" w:rsidRPr="0056430F" w:rsidRDefault="00AB7135" w:rsidP="00AB7135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8A1484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/ZP-SP38/2025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73232"/>
    <w:rsid w:val="000B574C"/>
    <w:rsid w:val="000D4D7F"/>
    <w:rsid w:val="000E3D0D"/>
    <w:rsid w:val="0012278B"/>
    <w:rsid w:val="00143D55"/>
    <w:rsid w:val="00190819"/>
    <w:rsid w:val="001B6A8E"/>
    <w:rsid w:val="001D1AA9"/>
    <w:rsid w:val="002067C8"/>
    <w:rsid w:val="0027783E"/>
    <w:rsid w:val="002E28F8"/>
    <w:rsid w:val="002F41F6"/>
    <w:rsid w:val="0035216F"/>
    <w:rsid w:val="00372151"/>
    <w:rsid w:val="003D6D50"/>
    <w:rsid w:val="00456D92"/>
    <w:rsid w:val="00465218"/>
    <w:rsid w:val="004709D5"/>
    <w:rsid w:val="004C6110"/>
    <w:rsid w:val="004D5D9D"/>
    <w:rsid w:val="00524E0F"/>
    <w:rsid w:val="00532CFA"/>
    <w:rsid w:val="00553ED8"/>
    <w:rsid w:val="00592074"/>
    <w:rsid w:val="00603347"/>
    <w:rsid w:val="006062AF"/>
    <w:rsid w:val="006173E0"/>
    <w:rsid w:val="00653D56"/>
    <w:rsid w:val="00671BC3"/>
    <w:rsid w:val="006740A3"/>
    <w:rsid w:val="00681510"/>
    <w:rsid w:val="00687658"/>
    <w:rsid w:val="00690D86"/>
    <w:rsid w:val="0069490F"/>
    <w:rsid w:val="006B0CDF"/>
    <w:rsid w:val="006C6D29"/>
    <w:rsid w:val="006E3668"/>
    <w:rsid w:val="0071092A"/>
    <w:rsid w:val="007B6A62"/>
    <w:rsid w:val="007C3E0E"/>
    <w:rsid w:val="00831F65"/>
    <w:rsid w:val="008565FA"/>
    <w:rsid w:val="008A1484"/>
    <w:rsid w:val="008C01FA"/>
    <w:rsid w:val="00942633"/>
    <w:rsid w:val="0094554F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B7135"/>
    <w:rsid w:val="00AE0B8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759E7"/>
    <w:rsid w:val="00CB06BB"/>
    <w:rsid w:val="00CF2095"/>
    <w:rsid w:val="00D607F6"/>
    <w:rsid w:val="00D75AEB"/>
    <w:rsid w:val="00D8546F"/>
    <w:rsid w:val="00DF3492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2025-01-08T21:07:00Z</dcterms:created>
  <dcterms:modified xsi:type="dcterms:W3CDTF">2025-11-25T21:55:00Z</dcterms:modified>
</cp:coreProperties>
</file>